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bidi="ar"/>
        </w:rPr>
        <w:t>附件1：</w:t>
      </w:r>
    </w:p>
    <w:p>
      <w:pPr>
        <w:widowControl/>
        <w:jc w:val="left"/>
        <w:rPr>
          <w:rFonts w:ascii="黑体" w:hAnsi="黑体" w:eastAsia="黑体" w:cs="黑体"/>
          <w:color w:val="000000"/>
          <w:kern w:val="0"/>
          <w:sz w:val="22"/>
          <w:szCs w:val="36"/>
          <w:lang w:bidi="ar"/>
        </w:rPr>
      </w:pPr>
    </w:p>
    <w:p>
      <w:pPr>
        <w:widowControl/>
        <w:jc w:val="center"/>
        <w:rPr>
          <w:rFonts w:ascii="黑体" w:hAnsi="黑体" w:eastAsia="黑体" w:cs="黑体"/>
          <w:color w:val="000000"/>
          <w:kern w:val="0"/>
          <w:sz w:val="36"/>
          <w:szCs w:val="36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bidi="ar"/>
        </w:rPr>
        <w:t>贵州省科学技术奖推荐公示</w:t>
      </w:r>
    </w:p>
    <w:p>
      <w:pPr>
        <w:widowControl/>
        <w:jc w:val="center"/>
      </w:pPr>
    </w:p>
    <w:p>
      <w:pPr>
        <w:pStyle w:val="13"/>
        <w:widowControl/>
        <w:numPr>
          <w:ilvl w:val="0"/>
          <w:numId w:val="1"/>
        </w:numPr>
        <w:adjustRightInd w:val="0"/>
        <w:snapToGrid w:val="0"/>
        <w:spacing w:line="288" w:lineRule="auto"/>
        <w:ind w:left="960" w:hanging="823" w:hangingChars="343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  <w:t>申报人：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 w:bidi="ar"/>
        </w:rPr>
        <w:t>吴文锋</w:t>
      </w:r>
      <w:r>
        <w:rPr>
          <w:rFonts w:ascii="仿宋_GB2312" w:hAnsi="仿宋_GB2312" w:eastAsia="仿宋_GB2312" w:cs="仿宋_GB2312"/>
          <w:color w:val="auto"/>
          <w:kern w:val="0"/>
          <w:sz w:val="24"/>
          <w:szCs w:val="24"/>
          <w:lang w:bidi="ar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 w:bidi="ar"/>
        </w:rPr>
        <w:t>男</w:t>
      </w:r>
      <w:r>
        <w:rPr>
          <w:rFonts w:ascii="仿宋_GB2312" w:hAnsi="仿宋_GB2312" w:eastAsia="仿宋_GB2312" w:cs="仿宋_GB2312"/>
          <w:color w:val="auto"/>
          <w:kern w:val="0"/>
          <w:sz w:val="24"/>
          <w:szCs w:val="24"/>
          <w:lang w:bidi="ar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  <w:t>37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bidi="ar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 w:bidi="ar"/>
        </w:rPr>
        <w:t>研究生</w:t>
      </w:r>
    </w:p>
    <w:p>
      <w:pPr>
        <w:pStyle w:val="13"/>
        <w:widowControl/>
        <w:numPr>
          <w:ilvl w:val="0"/>
          <w:numId w:val="1"/>
        </w:numPr>
        <w:adjustRightInd w:val="0"/>
        <w:snapToGrid w:val="0"/>
        <w:spacing w:line="288" w:lineRule="auto"/>
        <w:ind w:left="960" w:hanging="823" w:hangingChars="343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  <w:t>项目名称：分子氧选择氧化环己烷合成KA油的绿色光催化体系</w:t>
      </w:r>
      <w:r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  <w:t xml:space="preserve"> </w:t>
      </w:r>
    </w:p>
    <w:p>
      <w:pPr>
        <w:pStyle w:val="13"/>
        <w:widowControl/>
        <w:numPr>
          <w:ilvl w:val="0"/>
          <w:numId w:val="1"/>
        </w:numPr>
        <w:adjustRightInd w:val="0"/>
        <w:snapToGrid w:val="0"/>
        <w:spacing w:line="288" w:lineRule="auto"/>
        <w:ind w:left="960" w:hanging="823" w:hangingChars="343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  <w:t>推荐单位：贵阳学院</w:t>
      </w:r>
    </w:p>
    <w:p>
      <w:pPr>
        <w:pStyle w:val="13"/>
        <w:widowControl/>
        <w:numPr>
          <w:ilvl w:val="0"/>
          <w:numId w:val="1"/>
        </w:numPr>
        <w:adjustRightInd w:val="0"/>
        <w:snapToGrid w:val="0"/>
        <w:spacing w:line="288" w:lineRule="auto"/>
        <w:ind w:left="960" w:hanging="823" w:hangingChars="343"/>
        <w:jc w:val="left"/>
        <w:rPr>
          <w:rFonts w:ascii="仿宋_GB2312" w:hAnsi="仿宋_GB2312" w:eastAsia="仿宋_GB2312" w:cs="仿宋_GB2312"/>
          <w:kern w:val="0"/>
          <w:sz w:val="24"/>
          <w:szCs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bidi="ar"/>
        </w:rPr>
        <w:t>推荐等级：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 w:bidi="ar"/>
        </w:rPr>
        <w:t>贵州省自然科学技术奖</w:t>
      </w:r>
    </w:p>
    <w:p>
      <w:pPr>
        <w:pStyle w:val="13"/>
        <w:widowControl/>
        <w:numPr>
          <w:ilvl w:val="0"/>
          <w:numId w:val="1"/>
        </w:numPr>
        <w:adjustRightInd w:val="0"/>
        <w:snapToGrid w:val="0"/>
        <w:spacing w:line="288" w:lineRule="auto"/>
        <w:ind w:left="840" w:hanging="720" w:hangingChars="300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bidi="ar"/>
        </w:rPr>
        <w:t xml:space="preserve"> 项目简介：</w:t>
      </w:r>
    </w:p>
    <w:p>
      <w:pPr>
        <w:pStyle w:val="13"/>
        <w:widowControl/>
        <w:numPr>
          <w:ilvl w:val="0"/>
          <w:numId w:val="0"/>
        </w:numPr>
        <w:adjustRightInd w:val="0"/>
        <w:snapToGrid w:val="0"/>
        <w:spacing w:line="288" w:lineRule="auto"/>
        <w:ind w:firstLine="480" w:firstLineChars="200"/>
        <w:jc w:val="left"/>
        <w:rPr>
          <w:rFonts w:hint="default" w:ascii="Times New Roman" w:hAnsi="Times New Roman" w:eastAsia="仿宋" w:cs="Times New Roman"/>
          <w:color w:val="000000"/>
          <w:sz w:val="24"/>
          <w:szCs w:val="24"/>
          <w:lang w:bidi="ar"/>
        </w:rPr>
      </w:pPr>
      <w:r>
        <w:rPr>
          <w:rFonts w:hint="default" w:ascii="Times New Roman" w:hAnsi="Times New Roman" w:eastAsia="仿宋" w:cs="Times New Roman"/>
          <w:color w:val="000000"/>
          <w:sz w:val="24"/>
          <w:szCs w:val="24"/>
          <w:lang w:bidi="ar"/>
        </w:rPr>
        <w:t>1、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lang w:eastAsia="zh-CN" w:bidi="ar"/>
        </w:rPr>
        <w:t>以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lang w:bidi="ar"/>
        </w:rPr>
        <w:t>过渡金属氯化物如CuCl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vertAlign w:val="subscript"/>
          <w:lang w:bidi="ar"/>
        </w:rPr>
        <w:t>2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lang w:bidi="ar"/>
        </w:rPr>
        <w:t>，FeCl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vertAlign w:val="subscript"/>
          <w:lang w:bidi="ar"/>
        </w:rPr>
        <w:t>3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lang w:bidi="ar"/>
        </w:rPr>
        <w:t>，VOCl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vertAlign w:val="subscript"/>
          <w:lang w:bidi="ar"/>
        </w:rPr>
        <w:t>3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lang w:bidi="ar"/>
        </w:rPr>
        <w:t>为光催化剂，实现浓盐酸条件下可见光光促金属氯化物产生氯自由基进行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lang w:eastAsia="zh-CN" w:bidi="ar"/>
        </w:rPr>
        <w:t>选择氧化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lang w:bidi="ar"/>
        </w:rPr>
        <w:t>反应，明确了盐酸对催化剂的循环作用，氧压对副产物选择性的影响。</w:t>
      </w:r>
    </w:p>
    <w:p>
      <w:pPr>
        <w:pStyle w:val="13"/>
        <w:widowControl/>
        <w:numPr>
          <w:ilvl w:val="0"/>
          <w:numId w:val="0"/>
        </w:numPr>
        <w:adjustRightInd w:val="0"/>
        <w:snapToGrid w:val="0"/>
        <w:spacing w:line="288" w:lineRule="auto"/>
        <w:ind w:firstLine="480" w:firstLineChars="200"/>
        <w:jc w:val="left"/>
        <w:rPr>
          <w:rFonts w:hint="default" w:ascii="Times New Roman" w:hAnsi="Times New Roman" w:eastAsia="仿宋" w:cs="Times New Roman"/>
          <w:color w:val="000000"/>
          <w:sz w:val="24"/>
          <w:szCs w:val="24"/>
          <w:lang w:bidi="ar"/>
        </w:rPr>
      </w:pPr>
      <w:r>
        <w:rPr>
          <w:rFonts w:hint="default" w:ascii="Times New Roman" w:hAnsi="Times New Roman" w:eastAsia="仿宋" w:cs="Times New Roman"/>
          <w:color w:val="000000"/>
          <w:sz w:val="24"/>
          <w:szCs w:val="24"/>
          <w:lang w:bidi="ar"/>
        </w:rPr>
        <w:t>2、首次在可见光下实现了磷钨/钼钒酸 (X-PM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vertAlign w:val="subscript"/>
          <w:lang w:bidi="ar"/>
        </w:rPr>
        <w:t>12-n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lang w:bidi="ar"/>
        </w:rPr>
        <w:t>V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vertAlign w:val="subscript"/>
          <w:lang w:bidi="ar"/>
        </w:rPr>
        <w:t>n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lang w:bidi="ar"/>
        </w:rPr>
        <w:t>(M=W，Mo))催化N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vertAlign w:val="subscript"/>
          <w:lang w:bidi="ar"/>
        </w:rPr>
        <w:t>2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lang w:bidi="ar"/>
        </w:rPr>
        <w:t>O/O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vertAlign w:val="subscript"/>
          <w:lang w:bidi="ar"/>
        </w:rPr>
        <w:t>2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lang w:bidi="ar"/>
        </w:rPr>
        <w:t>进行环己烷的光催化氧化反应，明确了HCl和H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vertAlign w:val="subscript"/>
          <w:lang w:bidi="ar"/>
        </w:rPr>
        <w:t>2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lang w:bidi="ar"/>
        </w:rPr>
        <w:t>O对十二磷钨/钼杂多酸及季铵盐性能的影响，揭示了多金属氧酸盐光催化氧化环己烷的机制。</w:t>
      </w:r>
    </w:p>
    <w:p>
      <w:pPr>
        <w:pStyle w:val="13"/>
        <w:widowControl/>
        <w:numPr>
          <w:ilvl w:val="0"/>
          <w:numId w:val="0"/>
        </w:numPr>
        <w:adjustRightInd w:val="0"/>
        <w:snapToGrid w:val="0"/>
        <w:spacing w:line="288" w:lineRule="auto"/>
        <w:ind w:firstLine="480" w:firstLineChars="200"/>
        <w:jc w:val="left"/>
        <w:rPr>
          <w:rFonts w:hint="default" w:ascii="Times New Roman" w:hAnsi="Times New Roman" w:eastAsia="仿宋" w:cs="Times New Roman"/>
          <w:color w:val="000000"/>
          <w:sz w:val="24"/>
          <w:szCs w:val="24"/>
          <w:lang w:bidi="ar"/>
        </w:rPr>
      </w:pPr>
      <w:r>
        <w:rPr>
          <w:rFonts w:hint="default" w:ascii="Times New Roman" w:hAnsi="Times New Roman" w:eastAsia="仿宋" w:cs="Times New Roman"/>
          <w:color w:val="000000"/>
          <w:sz w:val="24"/>
          <w:szCs w:val="24"/>
          <w:lang w:bidi="ar"/>
        </w:rPr>
        <w:t>3、首次在可见光下实现了四丁基十聚钨酸铵盐（TBADT）光催化分子O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vertAlign w:val="subscript"/>
          <w:lang w:bidi="ar"/>
        </w:rPr>
        <w:t>2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lang w:bidi="ar"/>
        </w:rPr>
        <w:t>氧化环己烷，发现中、强酸与适量水作为添加剂对该光催化体系具有协调作用。明确了季铵盐阳离子对十聚钨酸铵盐光催化活性的影响。</w:t>
      </w:r>
    </w:p>
    <w:p>
      <w:pPr>
        <w:pStyle w:val="13"/>
        <w:widowControl/>
        <w:numPr>
          <w:ilvl w:val="0"/>
          <w:numId w:val="0"/>
        </w:numPr>
        <w:adjustRightInd w:val="0"/>
        <w:snapToGrid w:val="0"/>
        <w:spacing w:line="288" w:lineRule="auto"/>
        <w:ind w:firstLine="480" w:firstLineChars="200"/>
        <w:jc w:val="left"/>
        <w:rPr>
          <w:rFonts w:hint="eastAsia" w:ascii="仿宋_GB2312" w:hAnsi="仿宋_GB2312" w:eastAsia="仿宋_GB2312" w:cs="仿宋_GB2312"/>
          <w:color w:val="000000"/>
          <w:sz w:val="24"/>
          <w:szCs w:val="24"/>
          <w:lang w:bidi="ar"/>
        </w:rPr>
      </w:pPr>
      <w:r>
        <w:rPr>
          <w:rFonts w:hint="default" w:ascii="Times New Roman" w:hAnsi="Times New Roman" w:eastAsia="仿宋" w:cs="Times New Roman"/>
          <w:color w:val="000000"/>
          <w:sz w:val="24"/>
          <w:szCs w:val="24"/>
          <w:lang w:bidi="ar"/>
        </w:rPr>
        <w:t>项目研究自2010年开始以来，在催化领域的顶级期刊Journal of Catalysis， Applied Catalysis B-Environmental等刊物共计发表SCI收录论文Q1 TOP期刊10篇，Q2期刊12篇。研究工作得到了国内外同行的广泛关注，具有重要的学术价值和现实前景。</w:t>
      </w:r>
    </w:p>
    <w:p>
      <w:pPr>
        <w:pStyle w:val="13"/>
        <w:widowControl/>
        <w:numPr>
          <w:ilvl w:val="0"/>
          <w:numId w:val="1"/>
        </w:numPr>
        <w:adjustRightInd w:val="0"/>
        <w:snapToGrid w:val="0"/>
        <w:spacing w:line="288" w:lineRule="auto"/>
        <w:ind w:left="840" w:hanging="720" w:hangingChars="300"/>
        <w:jc w:val="left"/>
        <w:rPr>
          <w:rFonts w:ascii="仿宋_GB2312" w:hAnsi="仿宋_GB2312" w:eastAsia="仿宋_GB2312" w:cs="仿宋_GB2312"/>
          <w:color w:val="auto"/>
          <w:kern w:val="0"/>
          <w:sz w:val="24"/>
          <w:szCs w:val="24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  <w:t xml:space="preserve"> 主要完成人：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 w:bidi="ar"/>
        </w:rPr>
        <w:t>吴文锋，伏再辉，汤森培，刘亚纯，佘家骆</w:t>
      </w:r>
    </w:p>
    <w:p>
      <w:pPr>
        <w:pStyle w:val="13"/>
        <w:widowControl/>
        <w:numPr>
          <w:ilvl w:val="0"/>
          <w:numId w:val="1"/>
        </w:numPr>
        <w:adjustRightInd w:val="0"/>
        <w:snapToGrid w:val="0"/>
        <w:spacing w:line="288" w:lineRule="auto"/>
        <w:ind w:left="840" w:hanging="720" w:hangingChars="300"/>
        <w:jc w:val="left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bidi="ar"/>
        </w:rPr>
        <w:t xml:space="preserve"> 主要完成单位：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eastAsia="zh-CN" w:bidi="ar"/>
        </w:rPr>
        <w:t>贵阳学院，湖南师范大学，吉首大学</w:t>
      </w:r>
    </w:p>
    <w:p>
      <w:pPr>
        <w:pStyle w:val="13"/>
        <w:widowControl/>
        <w:numPr>
          <w:ilvl w:val="0"/>
          <w:numId w:val="1"/>
        </w:numPr>
        <w:adjustRightInd w:val="0"/>
        <w:snapToGrid w:val="0"/>
        <w:spacing w:line="288" w:lineRule="auto"/>
        <w:ind w:left="960" w:hanging="823" w:hangingChars="343"/>
        <w:jc w:val="left"/>
        <w:rPr>
          <w:rFonts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 w:bidi="ar"/>
        </w:rPr>
        <w:t>主要代表性论文专著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5145"/>
        <w:gridCol w:w="1417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eastAsia" w:eastAsiaTheme="minorEastAsia"/>
                <w:b/>
                <w:bCs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eastAsia="zh-CN"/>
              </w:rPr>
              <w:t>序号</w:t>
            </w:r>
          </w:p>
        </w:tc>
        <w:tc>
          <w:tcPr>
            <w:tcW w:w="514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eastAsia" w:eastAsiaTheme="minorEastAsia"/>
                <w:b/>
                <w:bCs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eastAsia="zh-CN"/>
              </w:rPr>
              <w:t>论文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eastAsia" w:eastAsiaTheme="minorEastAsia"/>
                <w:b/>
                <w:bCs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eastAsia="zh-CN"/>
              </w:rPr>
              <w:t>刊名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eastAsia" w:eastAsiaTheme="minorEastAsia"/>
                <w:b/>
                <w:bCs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eastAsia="zh-CN"/>
              </w:rPr>
              <w:t>出版时间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vertAlign w:val="baseline"/>
                <w:lang w:val="en-US" w:eastAsia="zh-CN"/>
              </w:rPr>
              <w:t>1</w:t>
            </w:r>
          </w:p>
        </w:tc>
        <w:tc>
          <w:tcPr>
            <w:tcW w:w="514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vertAlign w:val="baseline"/>
              </w:rPr>
              <w:t>Metal chlorides-catalyzed selective oxidation of cyclohexane by molecular oxygen under visible light irradiation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13"/>
                <w:szCs w:val="13"/>
                <w:vertAlign w:val="baseline"/>
              </w:rPr>
              <w:t>Journal of Catalysis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vertAlign w:val="baseline"/>
              </w:rPr>
              <w:t>2012</w:t>
            </w:r>
            <w:r>
              <w:rPr>
                <w:rFonts w:hint="eastAsia" w:ascii="Times New Roman" w:hAnsi="Times New Roman" w:cs="Times New Roman"/>
                <w:sz w:val="13"/>
                <w:szCs w:val="13"/>
                <w:vertAlign w:val="baseline"/>
                <w:lang w:val="en-US" w:eastAsia="zh-CN"/>
              </w:rPr>
              <w:t>.0</w:t>
            </w:r>
            <w:r>
              <w:rPr>
                <w:rFonts w:hint="default" w:ascii="Times New Roman" w:hAnsi="Times New Roman" w:cs="Times New Roman"/>
                <w:sz w:val="13"/>
                <w:szCs w:val="13"/>
                <w:vertAlign w:val="baseline"/>
              </w:rPr>
              <w:t>2</w:t>
            </w:r>
            <w:r>
              <w:rPr>
                <w:rFonts w:hint="eastAsia" w:ascii="Times New Roman" w:hAnsi="Times New Roman" w:cs="Times New Roman"/>
                <w:sz w:val="13"/>
                <w:szCs w:val="13"/>
                <w:vertAlign w:val="baseline"/>
                <w:lang w:val="en-US" w:eastAsia="zh-CN"/>
              </w:rPr>
              <w:t>.0</w:t>
            </w:r>
            <w:r>
              <w:rPr>
                <w:rFonts w:hint="default" w:ascii="Times New Roman" w:hAnsi="Times New Roman" w:cs="Times New Roman"/>
                <w:sz w:val="13"/>
                <w:szCs w:val="13"/>
                <w:vertAlign w:val="baseli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vertAlign w:val="baseline"/>
                <w:lang w:val="en-US" w:eastAsia="zh-CN"/>
              </w:rPr>
              <w:t>2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vertAlign w:val="baseline"/>
              </w:rPr>
              <w:t>Study on the formation of photoactive species in XPMo</w:t>
            </w:r>
            <w:r>
              <w:rPr>
                <w:rFonts w:hint="default" w:ascii="Times New Roman" w:hAnsi="Times New Roman" w:cs="Times New Roman"/>
                <w:sz w:val="13"/>
                <w:szCs w:val="13"/>
                <w:vertAlign w:val="subscript"/>
              </w:rPr>
              <w:t>12-n</w:t>
            </w:r>
            <w:r>
              <w:rPr>
                <w:rFonts w:hint="default" w:ascii="Times New Roman" w:hAnsi="Times New Roman" w:cs="Times New Roman"/>
                <w:sz w:val="13"/>
                <w:szCs w:val="13"/>
                <w:vertAlign w:val="baseline"/>
              </w:rPr>
              <w:t>V</w:t>
            </w:r>
            <w:r>
              <w:rPr>
                <w:rFonts w:hint="default" w:ascii="Times New Roman" w:hAnsi="Times New Roman" w:cs="Times New Roman"/>
                <w:sz w:val="13"/>
                <w:szCs w:val="13"/>
                <w:vertAlign w:val="subscript"/>
              </w:rPr>
              <w:t>n</w:t>
            </w:r>
            <w:r>
              <w:rPr>
                <w:rFonts w:hint="default" w:ascii="Times New Roman" w:hAnsi="Times New Roman" w:cs="Times New Roman"/>
                <w:sz w:val="13"/>
                <w:szCs w:val="13"/>
                <w:vertAlign w:val="baseline"/>
              </w:rPr>
              <w:t>O</w:t>
            </w:r>
            <w:r>
              <w:rPr>
                <w:rFonts w:hint="default" w:ascii="Times New Roman" w:hAnsi="Times New Roman" w:cs="Times New Roman"/>
                <w:sz w:val="13"/>
                <w:szCs w:val="13"/>
                <w:vertAlign w:val="subscript"/>
              </w:rPr>
              <w:t>40</w:t>
            </w:r>
            <w:r>
              <w:rPr>
                <w:rFonts w:hint="default" w:ascii="Times New Roman" w:hAnsi="Times New Roman" w:cs="Times New Roman"/>
                <w:sz w:val="13"/>
                <w:szCs w:val="13"/>
                <w:vertAlign w:val="baseline"/>
              </w:rPr>
              <w:t>- HCl system and its effect on photocatalysis oxidation of cyclohexane by dioxygens under visible light irradiation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vertAlign w:val="baseline"/>
              </w:rPr>
              <w:t>Applied Catalysis B: Environmental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vertAlign w:val="baseline"/>
              </w:rPr>
              <w:t>2017</w:t>
            </w:r>
            <w:r>
              <w:rPr>
                <w:rFonts w:hint="eastAsia" w:ascii="Times New Roman" w:hAnsi="Times New Roman" w:cs="Times New Roman"/>
                <w:sz w:val="13"/>
                <w:szCs w:val="13"/>
                <w:vertAlign w:val="baseline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13"/>
                <w:szCs w:val="13"/>
                <w:vertAlign w:val="baseline"/>
              </w:rPr>
              <w:t>10</w:t>
            </w:r>
            <w:r>
              <w:rPr>
                <w:rFonts w:hint="eastAsia" w:ascii="Times New Roman" w:hAnsi="Times New Roman" w:cs="Times New Roman"/>
                <w:sz w:val="13"/>
                <w:szCs w:val="13"/>
                <w:vertAlign w:val="baseline"/>
                <w:lang w:val="en-US" w:eastAsia="zh-CN"/>
              </w:rPr>
              <w:t>.0</w:t>
            </w:r>
            <w:r>
              <w:rPr>
                <w:rFonts w:hint="default" w:ascii="Times New Roman" w:hAnsi="Times New Roman" w:cs="Times New Roman"/>
                <w:sz w:val="13"/>
                <w:szCs w:val="13"/>
                <w:vertAlign w:val="baseline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vertAlign w:val="baseline"/>
                <w:lang w:val="en-US" w:eastAsia="zh-CN"/>
              </w:rPr>
              <w:t>3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vertAlign w:val="baseline"/>
              </w:rPr>
              <w:t>isible light-triggered vanadium-substituted molybdophosphoric acids to catalyze liquid phase oxygenation of cyclohexane to KA oil by nitrous oxide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vertAlign w:val="baseline"/>
              </w:rPr>
              <w:t>Applied Catalysis B: Environmental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vertAlign w:val="baseline"/>
              </w:rPr>
              <w:t>2016</w:t>
            </w:r>
            <w:r>
              <w:rPr>
                <w:rFonts w:hint="eastAsia" w:ascii="Times New Roman" w:hAnsi="Times New Roman" w:cs="Times New Roman"/>
                <w:sz w:val="13"/>
                <w:szCs w:val="13"/>
                <w:vertAlign w:val="baseline"/>
                <w:lang w:val="en-US" w:eastAsia="zh-CN"/>
              </w:rPr>
              <w:t>.0</w:t>
            </w:r>
            <w:r>
              <w:rPr>
                <w:rFonts w:hint="default" w:ascii="Times New Roman" w:hAnsi="Times New Roman" w:cs="Times New Roman"/>
                <w:sz w:val="13"/>
                <w:szCs w:val="13"/>
                <w:vertAlign w:val="baseline"/>
              </w:rPr>
              <w:t>3</w:t>
            </w:r>
            <w:r>
              <w:rPr>
                <w:rFonts w:hint="eastAsia" w:ascii="Times New Roman" w:hAnsi="Times New Roman" w:cs="Times New Roman"/>
                <w:sz w:val="13"/>
                <w:szCs w:val="13"/>
                <w:vertAlign w:val="baseline"/>
                <w:lang w:val="en-US" w:eastAsia="zh-CN"/>
              </w:rPr>
              <w:t>.0</w:t>
            </w:r>
            <w:r>
              <w:rPr>
                <w:rFonts w:hint="default" w:ascii="Times New Roman" w:hAnsi="Times New Roman" w:cs="Times New Roman"/>
                <w:sz w:val="13"/>
                <w:szCs w:val="13"/>
                <w:vertAlign w:val="baseli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vertAlign w:val="baseline"/>
                <w:lang w:val="en-US" w:eastAsia="zh-CN"/>
              </w:rPr>
              <w:t>4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vertAlign w:val="baseline"/>
              </w:rPr>
              <w:t>Visible light-triggered vanadium-substituted molybdophosphoric acids to catalyze liquid phase oxygenation of cyclohexane to KA oil by nitrous oxide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vertAlign w:val="baseline"/>
              </w:rPr>
              <w:t>Applied Catalysis B: Environmental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vertAlign w:val="baseline"/>
              </w:rPr>
              <w:t>2015</w:t>
            </w:r>
            <w:r>
              <w:rPr>
                <w:rFonts w:hint="eastAsia" w:ascii="Times New Roman" w:hAnsi="Times New Roman" w:cs="Times New Roman"/>
                <w:sz w:val="13"/>
                <w:szCs w:val="13"/>
                <w:vertAlign w:val="baseline"/>
                <w:lang w:eastAsia="zh-CN"/>
              </w:rPr>
              <w:t>.</w:t>
            </w:r>
            <w:r>
              <w:rPr>
                <w:rFonts w:hint="eastAsia" w:ascii="Times New Roman" w:hAnsi="Times New Roman" w:cs="Times New Roman"/>
                <w:sz w:val="13"/>
                <w:szCs w:val="13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13"/>
                <w:szCs w:val="13"/>
                <w:vertAlign w:val="baseline"/>
              </w:rPr>
              <w:t>3</w:t>
            </w:r>
            <w:r>
              <w:rPr>
                <w:rFonts w:hint="eastAsia" w:ascii="Times New Roman" w:hAnsi="Times New Roman" w:cs="Times New Roman"/>
                <w:sz w:val="13"/>
                <w:szCs w:val="13"/>
                <w:vertAlign w:val="baseline"/>
                <w:lang w:val="en-US" w:eastAsia="zh-CN"/>
              </w:rPr>
              <w:t>.0</w:t>
            </w:r>
            <w:r>
              <w:rPr>
                <w:rFonts w:hint="default" w:ascii="Times New Roman" w:hAnsi="Times New Roman" w:cs="Times New Roman"/>
                <w:sz w:val="13"/>
                <w:szCs w:val="13"/>
                <w:vertAlign w:val="baseli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vertAlign w:val="baseline"/>
                <w:lang w:val="en-US" w:eastAsia="zh-CN"/>
              </w:rPr>
              <w:t>5</w:t>
            </w:r>
          </w:p>
        </w:tc>
        <w:tc>
          <w:tcPr>
            <w:tcW w:w="514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vertAlign w:val="baseline"/>
              </w:rPr>
              <w:t>Influence of tetra alkylammonium cations on quality of decatungstate and its photocatalytic property in visible light-triggered selective oxidation of organic compounds by dioxygens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13"/>
                <w:szCs w:val="13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13"/>
                <w:szCs w:val="13"/>
                <w:vertAlign w:val="baseline"/>
              </w:rPr>
              <w:t>Applied Catalysis B: Environmental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13"/>
                <w:szCs w:val="13"/>
                <w:vertAlign w:val="baseline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cs="Times New Roman"/>
                <w:sz w:val="13"/>
                <w:szCs w:val="13"/>
                <w:vertAlign w:val="baseline"/>
                <w:lang w:val="en-US" w:eastAsia="zh-CN"/>
              </w:rPr>
              <w:t xml:space="preserve">Online: </w:t>
            </w:r>
            <w:r>
              <w:rPr>
                <w:rFonts w:hint="default" w:ascii="Times New Roman" w:hAnsi="Times New Roman" w:cs="Times New Roman"/>
                <w:sz w:val="13"/>
                <w:szCs w:val="13"/>
                <w:vertAlign w:val="baseline"/>
              </w:rPr>
              <w:t>2018.10.</w:t>
            </w:r>
            <w:r>
              <w:rPr>
                <w:rFonts w:hint="eastAsia" w:ascii="Times New Roman" w:hAnsi="Times New Roman" w:cs="Times New Roman"/>
                <w:sz w:val="13"/>
                <w:szCs w:val="13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sz w:val="13"/>
                <w:szCs w:val="13"/>
                <w:vertAlign w:val="baseline"/>
              </w:rPr>
              <w:t>1</w:t>
            </w:r>
          </w:p>
        </w:tc>
      </w:tr>
    </w:tbl>
    <w:p>
      <w:pPr>
        <w:pStyle w:val="13"/>
        <w:ind w:left="0" w:leftChars="0" w:firstLine="0" w:firstLineChars="0"/>
        <w:jc w:val="left"/>
        <w:textAlignment w:val="baseline"/>
        <w:rPr>
          <w:rFonts w:ascii="仿宋" w:hAnsi="仿宋" w:eastAsia="仿宋" w:cs="仿宋"/>
          <w:b/>
          <w:sz w:val="28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4248C7"/>
    <w:multiLevelType w:val="multilevel"/>
    <w:tmpl w:val="664248C7"/>
    <w:lvl w:ilvl="0" w:tentative="0">
      <w:start w:val="1"/>
      <w:numFmt w:val="japaneseCounting"/>
      <w:lvlText w:val="%1、"/>
      <w:lvlJc w:val="left"/>
      <w:pPr>
        <w:ind w:left="2139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92"/>
    <w:rsid w:val="0005523B"/>
    <w:rsid w:val="000821FF"/>
    <w:rsid w:val="000825C5"/>
    <w:rsid w:val="00192ADF"/>
    <w:rsid w:val="001B694C"/>
    <w:rsid w:val="001E11DC"/>
    <w:rsid w:val="00280F01"/>
    <w:rsid w:val="002F6092"/>
    <w:rsid w:val="00316D5A"/>
    <w:rsid w:val="00325107"/>
    <w:rsid w:val="003B26CA"/>
    <w:rsid w:val="003F0C0F"/>
    <w:rsid w:val="00455234"/>
    <w:rsid w:val="00474F8F"/>
    <w:rsid w:val="00483C43"/>
    <w:rsid w:val="00492DE2"/>
    <w:rsid w:val="004C217B"/>
    <w:rsid w:val="004C3942"/>
    <w:rsid w:val="004F79AB"/>
    <w:rsid w:val="004F7C34"/>
    <w:rsid w:val="0050259D"/>
    <w:rsid w:val="005A3413"/>
    <w:rsid w:val="00612749"/>
    <w:rsid w:val="00623E1D"/>
    <w:rsid w:val="0067269A"/>
    <w:rsid w:val="006812C3"/>
    <w:rsid w:val="006A2825"/>
    <w:rsid w:val="00777DFA"/>
    <w:rsid w:val="007949DE"/>
    <w:rsid w:val="007F5692"/>
    <w:rsid w:val="0086245B"/>
    <w:rsid w:val="0089012E"/>
    <w:rsid w:val="009018CF"/>
    <w:rsid w:val="009327C7"/>
    <w:rsid w:val="00953389"/>
    <w:rsid w:val="0096659E"/>
    <w:rsid w:val="0097467D"/>
    <w:rsid w:val="00986BF1"/>
    <w:rsid w:val="009A1ECE"/>
    <w:rsid w:val="009B5916"/>
    <w:rsid w:val="009C1102"/>
    <w:rsid w:val="009F5DB1"/>
    <w:rsid w:val="00A8198D"/>
    <w:rsid w:val="00A84087"/>
    <w:rsid w:val="00AB328D"/>
    <w:rsid w:val="00AC7FDF"/>
    <w:rsid w:val="00B45D4E"/>
    <w:rsid w:val="00B56FBF"/>
    <w:rsid w:val="00B947F4"/>
    <w:rsid w:val="00BB4F74"/>
    <w:rsid w:val="00C17192"/>
    <w:rsid w:val="00C53C46"/>
    <w:rsid w:val="00C71B17"/>
    <w:rsid w:val="00D00B38"/>
    <w:rsid w:val="00D12EEB"/>
    <w:rsid w:val="00D237C3"/>
    <w:rsid w:val="00D518D8"/>
    <w:rsid w:val="00DD391A"/>
    <w:rsid w:val="00DE773B"/>
    <w:rsid w:val="00E10DA0"/>
    <w:rsid w:val="00E86830"/>
    <w:rsid w:val="00EE4092"/>
    <w:rsid w:val="00EE4BF0"/>
    <w:rsid w:val="00F10945"/>
    <w:rsid w:val="00F4227D"/>
    <w:rsid w:val="00F47734"/>
    <w:rsid w:val="00F81DD5"/>
    <w:rsid w:val="00FB25F1"/>
    <w:rsid w:val="00FB5508"/>
    <w:rsid w:val="29695736"/>
    <w:rsid w:val="31C31965"/>
    <w:rsid w:val="354774FF"/>
    <w:rsid w:val="421509DD"/>
    <w:rsid w:val="4C865474"/>
    <w:rsid w:val="56F57877"/>
    <w:rsid w:val="589527A6"/>
    <w:rsid w:val="5BFF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  <w:style w:type="character" w:customStyle="1" w:styleId="15">
    <w:name w:val="font11"/>
    <w:basedOn w:val="9"/>
    <w:uiPriority w:val="0"/>
    <w:rPr>
      <w:rFonts w:hint="eastAsia" w:ascii="宋体" w:hAnsi="宋体" w:eastAsia="宋体" w:cs="宋体"/>
      <w:b/>
      <w:bCs/>
      <w:color w:val="000000"/>
      <w:sz w:val="15"/>
      <w:szCs w:val="15"/>
      <w:u w:val="none"/>
    </w:rPr>
  </w:style>
  <w:style w:type="character" w:customStyle="1" w:styleId="16">
    <w:name w:val="font21"/>
    <w:basedOn w:val="9"/>
    <w:uiPriority w:val="0"/>
    <w:rPr>
      <w:rFonts w:hint="default" w:ascii="Times New Roman" w:hAnsi="Times New Roman" w:cs="Times New Roman"/>
      <w:color w:val="132339"/>
      <w:sz w:val="13"/>
      <w:szCs w:val="13"/>
      <w:u w:val="none"/>
      <w:vertAlign w:val="subscript"/>
    </w:rPr>
  </w:style>
  <w:style w:type="character" w:customStyle="1" w:styleId="17">
    <w:name w:val="font41"/>
    <w:basedOn w:val="9"/>
    <w:uiPriority w:val="0"/>
    <w:rPr>
      <w:rFonts w:hint="default" w:ascii="Times New Roman" w:hAnsi="Times New Roman" w:cs="Times New Roman"/>
      <w:color w:val="132339"/>
      <w:sz w:val="13"/>
      <w:szCs w:val="13"/>
      <w:u w:val="none"/>
    </w:rPr>
  </w:style>
  <w:style w:type="character" w:customStyle="1" w:styleId="18">
    <w:name w:val="font61"/>
    <w:basedOn w:val="9"/>
    <w:uiPriority w:val="0"/>
    <w:rPr>
      <w:rFonts w:ascii="微软雅黑" w:hAnsi="微软雅黑" w:eastAsia="微软雅黑" w:cs="微软雅黑"/>
      <w:color w:val="132339"/>
      <w:sz w:val="13"/>
      <w:szCs w:val="13"/>
      <w:u w:val="none"/>
    </w:rPr>
  </w:style>
  <w:style w:type="character" w:customStyle="1" w:styleId="19">
    <w:name w:val="font51"/>
    <w:basedOn w:val="9"/>
    <w:uiPriority w:val="0"/>
    <w:rPr>
      <w:rFonts w:ascii="楷体" w:hAnsi="楷体" w:eastAsia="楷体" w:cs="楷体"/>
      <w:color w:val="000000"/>
      <w:sz w:val="13"/>
      <w:szCs w:val="13"/>
      <w:u w:val="none"/>
    </w:rPr>
  </w:style>
  <w:style w:type="character" w:customStyle="1" w:styleId="20">
    <w:name w:val="font71"/>
    <w:basedOn w:val="9"/>
    <w:uiPriority w:val="0"/>
    <w:rPr>
      <w:rFonts w:hint="default" w:ascii="Times New Roman" w:hAnsi="Times New Roman" w:cs="Times New Roman"/>
      <w:color w:val="000000"/>
      <w:sz w:val="13"/>
      <w:szCs w:val="1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197</Words>
  <Characters>1125</Characters>
  <Lines>9</Lines>
  <Paragraphs>2</Paragraphs>
  <TotalTime>3</TotalTime>
  <ScaleCrop>false</ScaleCrop>
  <LinksUpToDate>false</LinksUpToDate>
  <CharactersWithSpaces>1320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2021-07-01T01:35:00Z</dcterms:created>
  <dc:creator>华为</dc:creator>
  <cp:lastModifiedBy>无畏----中药材</cp:lastModifiedBy>
  <cp:lastPrinted>2021-07-09T05:09:28Z</cp:lastPrinted>
  <dcterms:modified xsi:type="dcterms:W3CDTF">2021-07-09T05:09:44Z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8BCBD7AC4CCF47C9875C4144C6E69693</vt:lpwstr>
  </property>
</Properties>
</file>